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keepNext/>
        <w:keepLines/>
        <w:spacing w:after="60"/>
        <w:jc w:val="center"/>
      </w:pPr>
      <w:r>
        <w:rPr>
          <w:b/>
          <w:bCs/>
          <w:color w:val="1F4E79"/>
          <w:sz w:val="56"/>
          <w:szCs w:val="56"/>
        </w:rPr>
        <w:t xml:space="preserve">Comparative Pricing Schedule</w:t>
      </w:r>
    </w:p>
    <w:tbl>
      <w:tblPr>
        <w:tblW w:type="pct" w:w="100%"/>
        <w:jc w:val="center"/>
        <w:tblBorders>
          <w:top w:val="single" w:color="auto" w:sz="4"/>
          <w:left w:val="single" w:color="auto" w:sz="4"/>
          <w:bottom w:val="single" w:color="auto" w:sz="4"/>
          <w:right w:val="single" w:color="auto" w:sz="4"/>
          <w:insideH w:val="single" w:color="D9D9D9" w:sz="4"/>
          <w:insideV w:val="single" w:color="D9D9D9" w:sz="4"/>
        </w:tblBorders>
        <w:tblLayout w:type="fixed"/>
        <w:tblCellMar>
          <w:top w:type="dxa" w:w="55"/>
          <w:left w:type="dxa" w:w="65"/>
          <w:bottom w:type="dxa" w:w="55"/>
          <w:right w:type="dxa" w:w="65"/>
        </w:tblCellMar>
      </w:tblPr>
      <w:tblGrid>
        <w:gridCol w:w="2108"/>
        <w:gridCol w:w="4086"/>
        <w:gridCol w:w="1245"/>
        <w:gridCol w:w="3376"/>
      </w:tblGrid>
      <w:tr>
        <w:tc>
          <w:tcPr>
            <w:shd w:fill="F2F2F2"/>
          </w:tcPr>
          <w:p>
            <w:pPr>
              <w:spacing w:after="0"/>
            </w:pPr>
            <w:r>
              <w:rPr>
                <w:b/>
                <w:bCs/>
                <w:color w:val="404040"/>
                <w:sz w:val="20"/>
                <w:szCs w:val="20"/>
              </w:rPr>
              <w:t xml:space="preserve">File Reference</w:t>
            </w:r>
          </w:p>
        </w:tc>
        <w:tc>
          <w:p>
            <w:pPr>
              <w:spacing w:after="0"/>
            </w:pPr>
            <w:r>
              <w:rPr>
                <w:sz w:val="20"/>
                <w:szCs w:val="20"/>
              </w:rPr>
              <w:t xml:space="preserve">SAMPLE-2026-0417</w:t>
            </w:r>
          </w:p>
        </w:tc>
        <w:tc>
          <w:tcPr>
            <w:shd w:fill="F2F2F2"/>
          </w:tcPr>
          <w:p>
            <w:pPr>
              <w:spacing w:after="0"/>
            </w:pPr>
            <w:r>
              <w:rPr>
                <w:b/>
                <w:bCs/>
                <w:color w:val="404040"/>
                <w:sz w:val="20"/>
                <w:szCs w:val="20"/>
              </w:rPr>
              <w:t xml:space="preserve">Report #</w:t>
            </w:r>
          </w:p>
        </w:tc>
        <w:tc>
          <w:p>
            <w:pPr>
              <w:spacing w:after="0"/>
            </w:pPr>
            <w:r>
              <w:rPr>
                <w:sz w:val="20"/>
                <w:szCs w:val="20"/>
              </w:rPr>
              <w:t xml:space="preserve">WD-2026-0417</w:t>
            </w:r>
          </w:p>
        </w:tc>
      </w:tr>
      <w:tr>
        <w:tc>
          <w:tcPr>
            <w:shd w:fill="F2F2F2"/>
          </w:tcPr>
          <w:p>
            <w:pPr>
              <w:spacing w:after="0"/>
            </w:pPr>
            <w:r>
              <w:rPr>
                <w:b/>
                <w:bCs/>
                <w:color w:val="404040"/>
                <w:sz w:val="20"/>
                <w:szCs w:val="20"/>
              </w:rPr>
              <w:t xml:space="preserve">Invoice #</w:t>
            </w:r>
          </w:p>
        </w:tc>
        <w:tc>
          <w:p>
            <w:pPr>
              <w:spacing w:after="0"/>
            </w:pPr>
            <w:r>
              <w:rPr>
                <w:sz w:val="20"/>
                <w:szCs w:val="20"/>
              </w:rPr>
              <w:t xml:space="preserve">INV-10055-SAMPLE</w:t>
            </w:r>
          </w:p>
        </w:tc>
        <w:tc>
          <w:tcPr>
            <w:shd w:fill="F2F2F2"/>
          </w:tcPr>
          <w:p>
            <w:pPr>
              <w:spacing w:after="0"/>
            </w:pPr>
            <w:r>
              <w:rPr>
                <w:b/>
                <w:bCs/>
                <w:color w:val="404040"/>
                <w:sz w:val="20"/>
                <w:szCs w:val="20"/>
              </w:rPr>
              <w:t xml:space="preserve">Loss Location</w:t>
            </w:r>
          </w:p>
        </w:tc>
        <w:tc>
          <w:p>
            <w:pPr>
              <w:spacing w:after="0"/>
            </w:pPr>
            <w:r>
              <w:rPr>
                <w:sz w:val="20"/>
                <w:szCs w:val="20"/>
              </w:rPr>
              <w:t xml:space="preserve">12 Sample Street, Exampleville VIC 3000</w:t>
            </w:r>
          </w:p>
        </w:tc>
      </w:tr>
      <w:tr>
        <w:tc>
          <w:tcPr>
            <w:shd w:fill="F2F2F2"/>
          </w:tcPr>
          <w:p>
            <w:pPr>
              <w:spacing w:after="0"/>
            </w:pPr>
            <w:r>
              <w:rPr>
                <w:b/>
                <w:bCs/>
                <w:color w:val="404040"/>
                <w:sz w:val="20"/>
                <w:szCs w:val="20"/>
              </w:rPr>
              <w:t xml:space="preserve">Case Reference</w:t>
            </w:r>
          </w:p>
        </w:tc>
        <w:tc>
          <w:tcPr>
            <w:gridSpan w:val="3"/>
          </w:tcPr>
          <w:p>
            <w:pPr>
              <w:spacing w:after="0"/>
            </w:pPr>
            <w:r>
              <w:rPr>
                <w:sz w:val="20"/>
                <w:szCs w:val="20"/>
              </w:rPr>
              <w:t xml:space="preserve">sample-worked-example</w:t>
            </w:r>
          </w:p>
        </w:tc>
      </w:tr>
    </w:tbl>
    <w:p>
      <w:pPr>
        <w:keepNext/>
        <w:keepLines/>
        <w:spacing w:after="80" w:before="200"/>
      </w:pPr>
      <w:r>
        <w:rPr>
          <w:b/>
          <w:bCs/>
          <w:color w:val="1F4E79"/>
          <w:sz w:val="28"/>
          <w:szCs w:val="28"/>
        </w:rPr>
        <w:t xml:space="preserve">Source of Each Billed Line</w:t>
      </w:r>
    </w:p>
    <w:tbl>
      <w:tblPr>
        <w:tblW w:type="pct" w:w="100%"/>
        <w:jc w:val="center"/>
        <w:tblBorders>
          <w:top w:val="single" w:color="auto" w:sz="4"/>
          <w:left w:val="single" w:color="auto" w:sz="4"/>
          <w:bottom w:val="single" w:color="auto" w:sz="4"/>
          <w:right w:val="single" w:color="auto" w:sz="4"/>
          <w:insideH w:val="single" w:color="D9D9D9" w:sz="4"/>
          <w:insideV w:val="single" w:color="D9D9D9" w:sz="4"/>
        </w:tblBorders>
        <w:tblCellMar>
          <w:top w:type="dxa" w:w="55"/>
          <w:left w:type="dxa" w:w="65"/>
          <w:bottom w:type="dxa" w:w="55"/>
          <w:right w:type="dxa" w:w="65"/>
        </w:tblCellMar>
      </w:tblPr>
      <w:tblGrid>
        <w:gridCol w:w="100"/>
        <w:gridCol w:w="100"/>
      </w:tblGrid>
      <w:tr>
        <w:trPr>
          <w:tblHeader/>
        </w:trPr>
        <w:tc>
          <w:tcPr>
            <w:shd w:fill="17365D"/>
          </w:tcPr>
          <w:p>
            <w:pPr>
              <w:keepNext/>
              <w:spacing w:after="0"/>
            </w:pPr>
            <w:r>
              <w:rPr>
                <w:b/>
                <w:bCs/>
                <w:color w:val="FFFFFF"/>
                <w:sz w:val="24"/>
                <w:szCs w:val="24"/>
              </w:rPr>
              <w:t xml:space="preserve">Item</w:t>
            </w:r>
          </w:p>
        </w:tc>
        <w:tc>
          <w:tcPr>
            <w:shd w:fill="17365D"/>
          </w:tcPr>
          <w:p>
            <w:pPr>
              <w:keepNext/>
              <w:spacing w:after="0"/>
            </w:pPr>
            <w:r>
              <w:rPr>
                <w:b/>
                <w:bCs/>
                <w:color w:val="FFFFFF"/>
                <w:sz w:val="24"/>
                <w:szCs w:val="24"/>
              </w:rPr>
              <w:t xml:space="preserve">Read from the contractor invoice</w:t>
            </w:r>
          </w:p>
        </w:tc>
      </w:tr>
      <w:tr>
        <w:trPr>
          <w:cantSplit/>
        </w:trPr>
        <w:tc>
          <w:p>
            <w:pPr>
              <w:spacing w:after="0"/>
            </w:pPr>
            <w:r>
              <w:rPr>
                <w:sz w:val="22"/>
                <w:szCs w:val="22"/>
              </w:rPr>
              <w:t xml:space="preserve">403.1</w:t>
            </w:r>
          </w:p>
        </w:tc>
        <w:tc>
          <w:p>
            <w:pPr>
              <w:spacing w:after="0"/>
            </w:pPr>
            <w:r>
              <w:rPr>
                <w:sz w:val="22"/>
                <w:szCs w:val="22"/>
              </w:rPr>
              <w:t xml:space="preserve">No source passage is recorded for this line. It was entered by the reviewer, or recorded before this schedule carried source passages; the line rests on the reviewer's own entry.</w:t>
            </w:r>
          </w:p>
        </w:tc>
      </w:tr>
      <w:tr>
        <w:trPr>
          <w:cantSplit/>
        </w:trPr>
        <w:tc>
          <w:p>
            <w:pPr>
              <w:spacing w:after="0"/>
            </w:pPr>
            <w:r>
              <w:rPr>
                <w:sz w:val="22"/>
                <w:szCs w:val="22"/>
              </w:rPr>
              <w:t xml:space="preserve">615.1</w:t>
            </w:r>
          </w:p>
        </w:tc>
        <w:tc>
          <w:p>
            <w:pPr>
              <w:spacing w:after="0"/>
            </w:pPr>
            <w:r>
              <w:rPr>
                <w:sz w:val="22"/>
                <w:szCs w:val="22"/>
              </w:rPr>
              <w:t xml:space="preserve">No source passage is recorded for this line. It was entered by the reviewer, or recorded before this schedule carried source passages; the line rests on the reviewer's own entry.</w:t>
            </w:r>
          </w:p>
        </w:tc>
      </w:tr>
      <w:tr>
        <w:trPr>
          <w:cantSplit/>
        </w:trPr>
        <w:tc>
          <w:p>
            <w:pPr>
              <w:spacing w:after="0"/>
            </w:pPr>
            <w:r>
              <w:rPr>
                <w:sz w:val="22"/>
                <w:szCs w:val="22"/>
              </w:rPr>
              <w:t xml:space="preserve">616.1</w:t>
            </w:r>
          </w:p>
        </w:tc>
        <w:tc>
          <w:p>
            <w:pPr>
              <w:spacing w:after="0"/>
            </w:pPr>
            <w:r>
              <w:rPr>
                <w:sz w:val="22"/>
                <w:szCs w:val="22"/>
              </w:rPr>
              <w:t xml:space="preserve">No source passage is recorded for this line. It was entered by the reviewer, or recorded before this schedule carried source passages; the line rests on the reviewer's own entry.</w:t>
            </w:r>
          </w:p>
        </w:tc>
      </w:tr>
      <w:tr>
        <w:trPr>
          <w:cantSplit/>
        </w:trPr>
        <w:tc>
          <w:p>
            <w:pPr>
              <w:spacing w:after="0"/>
            </w:pPr>
            <w:r>
              <w:rPr>
                <w:sz w:val="22"/>
                <w:szCs w:val="22"/>
              </w:rPr>
              <w:t xml:space="preserve">107.1</w:t>
            </w:r>
          </w:p>
        </w:tc>
        <w:tc>
          <w:p>
            <w:pPr>
              <w:spacing w:after="0"/>
            </w:pPr>
            <w:r>
              <w:rPr>
                <w:sz w:val="22"/>
                <w:szCs w:val="22"/>
              </w:rPr>
              <w:t xml:space="preserve">No source passage is recorded for this line. It was entered by the reviewer, or recorded before this schedule carried source passages; the line rests on the reviewer's own entry.</w:t>
            </w:r>
          </w:p>
        </w:tc>
      </w:tr>
      <w:tr>
        <w:trPr>
          <w:cantSplit/>
        </w:trPr>
        <w:tc>
          <w:p>
            <w:pPr>
              <w:spacing w:after="0"/>
            </w:pPr>
            <w:r>
              <w:rPr>
                <w:sz w:val="22"/>
                <w:szCs w:val="22"/>
              </w:rPr>
              <w:t xml:space="preserve">10.1</w:t>
            </w:r>
          </w:p>
        </w:tc>
        <w:tc>
          <w:p>
            <w:pPr>
              <w:spacing w:after="0"/>
            </w:pPr>
            <w:r>
              <w:rPr>
                <w:sz w:val="22"/>
                <w:szCs w:val="22"/>
              </w:rPr>
              <w:t xml:space="preserve">No source passage is recorded for this line. It was entered by the reviewer, or recorded before this schedule carried source passages; the line rests on the reviewer's own entry.</w:t>
            </w:r>
          </w:p>
        </w:tc>
      </w:tr>
      <w:tr>
        <w:trPr>
          <w:cantSplit/>
        </w:trPr>
        <w:tc>
          <w:p>
            <w:pPr>
              <w:spacing w:after="0"/>
            </w:pPr>
            <w:r>
              <w:rPr>
                <w:sz w:val="22"/>
                <w:szCs w:val="22"/>
              </w:rPr>
              <w:t xml:space="preserve">12.1</w:t>
            </w:r>
          </w:p>
        </w:tc>
        <w:tc>
          <w:p>
            <w:pPr>
              <w:spacing w:after="0"/>
            </w:pPr>
            <w:r>
              <w:rPr>
                <w:sz w:val="22"/>
                <w:szCs w:val="22"/>
              </w:rPr>
              <w:t xml:space="preserve">No source passage is recorded for this line. It was entered by the reviewer, or recorded before this schedule carried source passages; the line rests on the reviewer's own entry.</w:t>
            </w:r>
          </w:p>
        </w:tc>
      </w:tr>
      <w:tr>
        <w:trPr>
          <w:cantSplit/>
        </w:trPr>
        <w:tc>
          <w:p>
            <w:pPr>
              <w:spacing w:after="0"/>
            </w:pPr>
            <w:r>
              <w:rPr>
                <w:sz w:val="22"/>
                <w:szCs w:val="22"/>
              </w:rPr>
              <w:t xml:space="preserve">604.1</w:t>
            </w:r>
          </w:p>
        </w:tc>
        <w:tc>
          <w:p>
            <w:pPr>
              <w:spacing w:after="0"/>
            </w:pPr>
            <w:r>
              <w:rPr>
                <w:sz w:val="22"/>
                <w:szCs w:val="22"/>
              </w:rPr>
              <w:t xml:space="preserve">No source passage is recorded for this line. It was entered by the reviewer, or recorded before this schedule carried source passages; the line rests on the reviewer's own entry.</w:t>
            </w:r>
          </w:p>
        </w:tc>
      </w:tr>
    </w:tbl>
    <w:p>
      <w:pPr>
        <w:keepNext/>
        <w:keepLines/>
        <w:spacing w:after="80" w:before="200"/>
      </w:pPr>
      <w:r>
        <w:rPr>
          <w:b/>
          <w:bCs/>
          <w:color w:val="1F4E79"/>
          <w:sz w:val="28"/>
          <w:szCs w:val="28"/>
        </w:rPr>
        <w:t xml:space="preserve">Basis of Preparation</w:t>
      </w:r>
    </w:p>
    <w:p>
      <w:pPr>
        <w:keepLines/>
        <w:spacing w:after="120" w:line="264"/>
      </w:pPr>
      <w:r>
        <w:rPr>
          <w:sz w:val="22"/>
          <w:szCs w:val="22"/>
        </w:rPr>
        <w:t xml:space="preserve">This Comparative Pricing Schedule includes only contractor invoice line items supported by the RIC Solutions technical file audit. Unit prices are preserved from the contractor invoice. This document is neutral, documentation-based, and does not state that any party must pay the amount shown.</w:t>
      </w:r>
    </w:p>
    <w:p>
      <w:pPr>
        <w:keepNext/>
        <w:keepLines/>
        <w:spacing w:after="80" w:before="200"/>
      </w:pPr>
      <w:r>
        <w:rPr>
          <w:b/>
          <w:bCs/>
          <w:color w:val="1F4E79"/>
          <w:sz w:val="28"/>
          <w:szCs w:val="28"/>
        </w:rPr>
        <w:t xml:space="preserve">Supported Line Items</w:t>
      </w:r>
    </w:p>
    <w:tbl>
      <w:tblPr>
        <w:tblW w:type="pct" w:w="100%"/>
        <w:jc w:val="center"/>
        <w:tblBorders>
          <w:top w:val="single" w:color="auto" w:sz="4"/>
          <w:left w:val="single" w:color="auto" w:sz="4"/>
          <w:bottom w:val="single" w:color="auto" w:sz="4"/>
          <w:right w:val="single" w:color="auto" w:sz="4"/>
          <w:insideH w:val="single" w:color="D9D9D9" w:sz="4"/>
          <w:insideV w:val="single" w:color="D9D9D9" w:sz="4"/>
        </w:tblBorders>
        <w:tblCellMar>
          <w:top w:type="dxa" w:w="55"/>
          <w:left w:type="dxa" w:w="65"/>
          <w:bottom w:type="dxa" w:w="55"/>
          <w:right w:type="dxa" w:w="65"/>
        </w:tblCellMar>
      </w:tblPr>
      <w:tblGrid>
        <w:gridCol w:w="100"/>
        <w:gridCol w:w="100"/>
        <w:gridCol w:w="100"/>
        <w:gridCol w:w="100"/>
        <w:gridCol w:w="100"/>
        <w:gridCol w:w="100"/>
        <w:gridCol w:w="100"/>
      </w:tblGrid>
      <w:tr>
        <w:trPr>
          <w:tblHeader/>
        </w:trPr>
        <w:tc>
          <w:tcPr>
            <w:shd w:fill="17365D"/>
          </w:tcPr>
          <w:p>
            <w:pPr>
              <w:keepNext/>
              <w:spacing w:after="0"/>
            </w:pPr>
            <w:r>
              <w:rPr>
                <w:b/>
                <w:bCs/>
                <w:color w:val="FFFFFF"/>
                <w:sz w:val="24"/>
                <w:szCs w:val="24"/>
              </w:rPr>
              <w:t xml:space="preserve">Item</w:t>
            </w:r>
          </w:p>
        </w:tc>
        <w:tc>
          <w:tcPr>
            <w:shd w:fill="17365D"/>
          </w:tcPr>
          <w:p>
            <w:pPr>
              <w:keepNext/>
              <w:spacing w:after="0"/>
            </w:pPr>
            <w:r>
              <w:rPr>
                <w:b/>
                <w:bCs/>
                <w:color w:val="FFFFFF"/>
                <w:sz w:val="24"/>
                <w:szCs w:val="24"/>
              </w:rPr>
              <w:t xml:space="preserve">Description</w:t>
            </w:r>
          </w:p>
        </w:tc>
        <w:tc>
          <w:tcPr>
            <w:shd w:fill="17365D"/>
          </w:tcPr>
          <w:p>
            <w:pPr>
              <w:keepNext/>
              <w:spacing w:after="0"/>
              <w:jc w:val="right"/>
            </w:pPr>
            <w:r>
              <w:rPr>
                <w:b/>
                <w:bCs/>
                <w:color w:val="FFFFFF"/>
                <w:sz w:val="24"/>
                <w:szCs w:val="24"/>
              </w:rPr>
              <w:t xml:space="preserve">Orig. Qty</w:t>
            </w:r>
          </w:p>
        </w:tc>
        <w:tc>
          <w:tcPr>
            <w:shd w:fill="17365D"/>
          </w:tcPr>
          <w:p>
            <w:pPr>
              <w:keepNext/>
              <w:spacing w:after="0"/>
              <w:jc w:val="right"/>
            </w:pPr>
            <w:r>
              <w:rPr>
                <w:b/>
                <w:bCs/>
                <w:color w:val="FFFFFF"/>
                <w:sz w:val="24"/>
                <w:szCs w:val="24"/>
              </w:rPr>
              <w:t xml:space="preserve">Supported Qty</w:t>
            </w:r>
          </w:p>
        </w:tc>
        <w:tc>
          <w:tcPr>
            <w:shd w:fill="17365D"/>
          </w:tcPr>
          <w:p>
            <w:pPr>
              <w:keepNext/>
              <w:spacing w:after="0"/>
              <w:jc w:val="right"/>
            </w:pPr>
            <w:r>
              <w:rPr>
                <w:b/>
                <w:bCs/>
                <w:color w:val="FFFFFF"/>
                <w:sz w:val="24"/>
                <w:szCs w:val="24"/>
              </w:rPr>
              <w:t xml:space="preserve">Unit Price</w:t>
            </w:r>
          </w:p>
        </w:tc>
        <w:tc>
          <w:tcPr>
            <w:shd w:fill="17365D"/>
          </w:tcPr>
          <w:p>
            <w:pPr>
              <w:keepNext/>
              <w:spacing w:after="0"/>
              <w:jc w:val="right"/>
            </w:pPr>
            <w:r>
              <w:rPr>
                <w:b/>
                <w:bCs/>
                <w:color w:val="FFFFFF"/>
                <w:sz w:val="24"/>
                <w:szCs w:val="24"/>
              </w:rPr>
              <w:t xml:space="preserve">Line Total</w:t>
            </w:r>
          </w:p>
        </w:tc>
        <w:tc>
          <w:tcPr>
            <w:shd w:fill="17365D"/>
          </w:tcPr>
          <w:p>
            <w:pPr>
              <w:keepNext/>
              <w:spacing w:after="0"/>
            </w:pPr>
            <w:r>
              <w:rPr>
                <w:b/>
                <w:bCs/>
                <w:color w:val="FFFFFF"/>
                <w:sz w:val="24"/>
                <w:szCs w:val="24"/>
              </w:rPr>
              <w:t xml:space="preserve">Audit Basis</w:t>
            </w:r>
          </w:p>
        </w:tc>
      </w:tr>
      <w:tr>
        <w:trPr>
          <w:cantSplit/>
        </w:trPr>
        <w:tc>
          <w:p>
            <w:pPr>
              <w:spacing w:after="0"/>
            </w:pPr>
            <w:r>
              <w:rPr>
                <w:sz w:val="22"/>
                <w:szCs w:val="22"/>
              </w:rPr>
              <w:t xml:space="preserve">403.1</w:t>
            </w:r>
          </w:p>
        </w:tc>
        <w:tc>
          <w:p>
            <w:pPr>
              <w:spacing w:after="0"/>
            </w:pPr>
            <w:r>
              <w:rPr>
                <w:sz w:val="22"/>
                <w:szCs w:val="22"/>
              </w:rPr>
              <w:t xml:space="preserve">Booking Fee (Call-Out)</w:t>
            </w:r>
          </w:p>
        </w:tc>
        <w:tc>
          <w:p>
            <w:pPr>
              <w:spacing w:after="0"/>
              <w:jc w:val="right"/>
            </w:pPr>
            <w:r>
              <w:rPr>
                <w:sz w:val="22"/>
                <w:szCs w:val="22"/>
              </w:rPr>
              <w:t xml:space="preserve">2</w:t>
            </w:r>
          </w:p>
        </w:tc>
        <w:tc>
          <w:p>
            <w:pPr>
              <w:spacing w:after="0"/>
              <w:jc w:val="right"/>
            </w:pPr>
            <w:r>
              <w:rPr>
                <w:sz w:val="22"/>
                <w:szCs w:val="22"/>
              </w:rPr>
              <w:t xml:space="preserve">1</w:t>
            </w:r>
          </w:p>
        </w:tc>
        <w:tc>
          <w:p>
            <w:pPr>
              <w:spacing w:after="0"/>
              <w:jc w:val="right"/>
            </w:pPr>
            <w:r>
              <w:rPr>
                <w:sz w:val="22"/>
                <w:szCs w:val="22"/>
              </w:rPr>
              <w:t xml:space="preserve">A$182.00</w:t>
            </w:r>
          </w:p>
        </w:tc>
        <w:tc>
          <w:p>
            <w:pPr>
              <w:spacing w:after="0"/>
              <w:jc w:val="right"/>
            </w:pPr>
            <w:r>
              <w:rPr>
                <w:sz w:val="22"/>
                <w:szCs w:val="22"/>
              </w:rPr>
              <w:t xml:space="preserve">A$182.00</w:t>
            </w:r>
          </w:p>
        </w:tc>
        <w:tc>
          <w:p>
            <w:pPr>
              <w:spacing w:after="0"/>
            </w:pPr>
            <w:r>
              <w:rPr>
                <w:sz w:val="22"/>
                <w:szCs w:val="22"/>
              </w:rPr>
              <w:t xml:space="preserve">One documented mobilisation supports one call-out fee.</w:t>
            </w:r>
          </w:p>
        </w:tc>
      </w:tr>
      <w:tr>
        <w:trPr>
          <w:cantSplit/>
        </w:trPr>
        <w:tc>
          <w:p>
            <w:pPr>
              <w:spacing w:after="0"/>
            </w:pPr>
            <w:r>
              <w:rPr>
                <w:sz w:val="22"/>
                <w:szCs w:val="22"/>
              </w:rPr>
              <w:t xml:space="preserve">615.1</w:t>
            </w:r>
          </w:p>
        </w:tc>
        <w:tc>
          <w:p>
            <w:pPr>
              <w:spacing w:after="0"/>
            </w:pPr>
            <w:r>
              <w:rPr>
                <w:sz w:val="22"/>
                <w:szCs w:val="22"/>
              </w:rPr>
              <w:t xml:space="preserve">Asset Hire (Dehumidifier) 2 Units x 8 Days</w:t>
            </w:r>
          </w:p>
        </w:tc>
        <w:tc>
          <w:p>
            <w:pPr>
              <w:spacing w:after="0"/>
              <w:jc w:val="right"/>
            </w:pPr>
            <w:r>
              <w:rPr>
                <w:sz w:val="22"/>
                <w:szCs w:val="22"/>
              </w:rPr>
              <w:t xml:space="preserve">16</w:t>
            </w:r>
          </w:p>
        </w:tc>
        <w:tc>
          <w:p>
            <w:pPr>
              <w:spacing w:after="0"/>
              <w:jc w:val="right"/>
            </w:pPr>
            <w:r>
              <w:rPr>
                <w:sz w:val="22"/>
                <w:szCs w:val="22"/>
              </w:rPr>
              <w:t xml:space="preserve">10</w:t>
            </w:r>
          </w:p>
        </w:tc>
        <w:tc>
          <w:p>
            <w:pPr>
              <w:spacing w:after="0"/>
              <w:jc w:val="right"/>
            </w:pPr>
            <w:r>
              <w:rPr>
                <w:sz w:val="22"/>
                <w:szCs w:val="22"/>
              </w:rPr>
              <w:t xml:space="preserve">A$46.00</w:t>
            </w:r>
          </w:p>
        </w:tc>
        <w:tc>
          <w:p>
            <w:pPr>
              <w:spacing w:after="0"/>
              <w:jc w:val="right"/>
            </w:pPr>
            <w:r>
              <w:rPr>
                <w:sz w:val="22"/>
                <w:szCs w:val="22"/>
              </w:rPr>
              <w:t xml:space="preserve">A$460.00</w:t>
            </w:r>
          </w:p>
        </w:tc>
        <w:tc>
          <w:p>
            <w:pPr>
              <w:spacing w:after="0"/>
            </w:pPr>
            <w:r>
              <w:rPr>
                <w:sz w:val="22"/>
                <w:szCs w:val="22"/>
              </w:rPr>
              <w:t xml:space="preserve">Dehumidifier hire supported for the documented drying window at the S500-verified unit count.</w:t>
            </w:r>
          </w:p>
        </w:tc>
      </w:tr>
      <w:tr>
        <w:trPr>
          <w:cantSplit/>
        </w:trPr>
        <w:tc>
          <w:p>
            <w:pPr>
              <w:spacing w:after="0"/>
            </w:pPr>
            <w:r>
              <w:rPr>
                <w:sz w:val="22"/>
                <w:szCs w:val="22"/>
              </w:rPr>
              <w:t xml:space="preserve">616.1</w:t>
            </w:r>
          </w:p>
        </w:tc>
        <w:tc>
          <w:p>
            <w:pPr>
              <w:spacing w:after="0"/>
            </w:pPr>
            <w:r>
              <w:rPr>
                <w:sz w:val="22"/>
                <w:szCs w:val="22"/>
              </w:rPr>
              <w:t xml:space="preserve">Asset Hire (Air Mover) 6 Units x 8 Days</w:t>
            </w:r>
          </w:p>
        </w:tc>
        <w:tc>
          <w:p>
            <w:pPr>
              <w:spacing w:after="0"/>
              <w:jc w:val="right"/>
            </w:pPr>
            <w:r>
              <w:rPr>
                <w:sz w:val="22"/>
                <w:szCs w:val="22"/>
              </w:rPr>
              <w:t xml:space="preserve">48</w:t>
            </w:r>
          </w:p>
        </w:tc>
        <w:tc>
          <w:p>
            <w:pPr>
              <w:spacing w:after="0"/>
              <w:jc w:val="right"/>
            </w:pPr>
            <w:r>
              <w:rPr>
                <w:sz w:val="22"/>
                <w:szCs w:val="22"/>
              </w:rPr>
              <w:t xml:space="preserve">24</w:t>
            </w:r>
          </w:p>
        </w:tc>
        <w:tc>
          <w:p>
            <w:pPr>
              <w:spacing w:after="0"/>
              <w:jc w:val="right"/>
            </w:pPr>
            <w:r>
              <w:rPr>
                <w:sz w:val="22"/>
                <w:szCs w:val="22"/>
              </w:rPr>
              <w:t xml:space="preserve">A$12.00</w:t>
            </w:r>
          </w:p>
        </w:tc>
        <w:tc>
          <w:p>
            <w:pPr>
              <w:spacing w:after="0"/>
              <w:jc w:val="right"/>
            </w:pPr>
            <w:r>
              <w:rPr>
                <w:sz w:val="22"/>
                <w:szCs w:val="22"/>
              </w:rPr>
              <w:t xml:space="preserve">A$288.00</w:t>
            </w:r>
          </w:p>
        </w:tc>
        <w:tc>
          <w:p>
            <w:pPr>
              <w:spacing w:after="0"/>
            </w:pPr>
            <w:r>
              <w:rPr>
                <w:sz w:val="22"/>
                <w:szCs w:val="22"/>
              </w:rPr>
              <w:t xml:space="preserve">Air-mover count supported at the S500 s. 12.5.3 range for the documented wet floor area.</w:t>
            </w:r>
          </w:p>
        </w:tc>
      </w:tr>
      <w:tr>
        <w:trPr>
          <w:cantSplit/>
        </w:trPr>
        <w:tc>
          <w:p>
            <w:pPr>
              <w:spacing w:after="0"/>
            </w:pPr>
            <w:r>
              <w:rPr>
                <w:sz w:val="22"/>
                <w:szCs w:val="22"/>
              </w:rPr>
              <w:t xml:space="preserve">107.1</w:t>
            </w:r>
          </w:p>
        </w:tc>
        <w:tc>
          <w:p>
            <w:pPr>
              <w:spacing w:after="0"/>
            </w:pPr>
            <w:r>
              <w:rPr>
                <w:sz w:val="22"/>
                <w:szCs w:val="22"/>
              </w:rPr>
              <w:t xml:space="preserve">Water extraction 5-50m² (commercial extraction unit)</w:t>
            </w:r>
          </w:p>
        </w:tc>
        <w:tc>
          <w:p>
            <w:pPr>
              <w:spacing w:after="0"/>
              <w:jc w:val="right"/>
            </w:pPr>
            <w:r>
              <w:rPr>
                <w:sz w:val="22"/>
                <w:szCs w:val="22"/>
              </w:rPr>
              <w:t xml:space="preserve">3.5</w:t>
            </w:r>
          </w:p>
        </w:tc>
        <w:tc>
          <w:p>
            <w:pPr>
              <w:spacing w:after="0"/>
              <w:jc w:val="right"/>
            </w:pPr>
            <w:r>
              <w:rPr>
                <w:sz w:val="22"/>
                <w:szCs w:val="22"/>
              </w:rPr>
              <w:t xml:space="preserve">3.5</w:t>
            </w:r>
          </w:p>
        </w:tc>
        <w:tc>
          <w:p>
            <w:pPr>
              <w:spacing w:after="0"/>
              <w:jc w:val="right"/>
            </w:pPr>
            <w:r>
              <w:rPr>
                <w:sz w:val="22"/>
                <w:szCs w:val="22"/>
              </w:rPr>
              <w:t xml:space="preserve">A$30.00</w:t>
            </w:r>
          </w:p>
        </w:tc>
        <w:tc>
          <w:p>
            <w:pPr>
              <w:spacing w:after="0"/>
              <w:jc w:val="right"/>
            </w:pPr>
            <w:r>
              <w:rPr>
                <w:sz w:val="22"/>
                <w:szCs w:val="22"/>
              </w:rPr>
              <w:t xml:space="preserve">A$105.00</w:t>
            </w:r>
          </w:p>
        </w:tc>
        <w:tc>
          <w:p>
            <w:pPr>
              <w:spacing w:after="0"/>
            </w:pPr>
            <w:r>
              <w:rPr>
                <w:sz w:val="22"/>
                <w:szCs w:val="22"/>
              </w:rPr>
              <w:t xml:space="preserve">Extraction supported by the documented setup attendance.</w:t>
            </w:r>
          </w:p>
        </w:tc>
      </w:tr>
    </w:tbl>
    <w:p>
      <w:pPr>
        <w:keepNext/>
        <w:keepLines/>
        <w:spacing w:after="80" w:before="200"/>
      </w:pPr>
      <w:r>
        <w:rPr>
          <w:b/>
          <w:bCs/>
          <w:color w:val="1F4E79"/>
          <w:sz w:val="28"/>
          <w:szCs w:val="28"/>
        </w:rPr>
        <w:t xml:space="preserve">Excluded Line Items</w:t>
      </w:r>
    </w:p>
    <w:tbl>
      <w:tblPr>
        <w:tblW w:type="pct" w:w="100%"/>
        <w:jc w:val="center"/>
        <w:tblBorders>
          <w:top w:val="single" w:color="auto" w:sz="4"/>
          <w:left w:val="single" w:color="auto" w:sz="4"/>
          <w:bottom w:val="single" w:color="auto" w:sz="4"/>
          <w:right w:val="single" w:color="auto" w:sz="4"/>
          <w:insideH w:val="single" w:color="D9D9D9" w:sz="4"/>
          <w:insideV w:val="single" w:color="D9D9D9" w:sz="4"/>
        </w:tblBorders>
        <w:tblCellMar>
          <w:top w:type="dxa" w:w="55"/>
          <w:left w:type="dxa" w:w="65"/>
          <w:bottom w:type="dxa" w:w="55"/>
          <w:right w:type="dxa" w:w="65"/>
        </w:tblCellMar>
      </w:tblPr>
      <w:tblGrid>
        <w:gridCol w:w="100"/>
        <w:gridCol w:w="100"/>
        <w:gridCol w:w="100"/>
        <w:gridCol w:w="100"/>
        <w:gridCol w:w="100"/>
      </w:tblGrid>
      <w:tr>
        <w:trPr>
          <w:tblHeader/>
        </w:trPr>
        <w:tc>
          <w:tcPr>
            <w:shd w:fill="17365D"/>
          </w:tcPr>
          <w:p>
            <w:pPr>
              <w:keepNext/>
              <w:spacing w:after="0"/>
            </w:pPr>
            <w:r>
              <w:rPr>
                <w:b/>
                <w:bCs/>
                <w:color w:val="FFFFFF"/>
                <w:sz w:val="24"/>
                <w:szCs w:val="24"/>
              </w:rPr>
              <w:t xml:space="preserve">Item</w:t>
            </w:r>
          </w:p>
        </w:tc>
        <w:tc>
          <w:tcPr>
            <w:shd w:fill="17365D"/>
          </w:tcPr>
          <w:p>
            <w:pPr>
              <w:keepNext/>
              <w:spacing w:after="0"/>
            </w:pPr>
            <w:r>
              <w:rPr>
                <w:b/>
                <w:bCs/>
                <w:color w:val="FFFFFF"/>
                <w:sz w:val="24"/>
                <w:szCs w:val="24"/>
              </w:rPr>
              <w:t xml:space="preserve">Description</w:t>
            </w:r>
          </w:p>
        </w:tc>
        <w:tc>
          <w:tcPr>
            <w:shd w:fill="17365D"/>
          </w:tcPr>
          <w:p>
            <w:pPr>
              <w:keepNext/>
              <w:spacing w:after="0"/>
              <w:jc w:val="right"/>
            </w:pPr>
            <w:r>
              <w:rPr>
                <w:b/>
                <w:bCs/>
                <w:color w:val="FFFFFF"/>
                <w:sz w:val="24"/>
                <w:szCs w:val="24"/>
              </w:rPr>
              <w:t xml:space="preserve">Orig. Qty</w:t>
            </w:r>
          </w:p>
        </w:tc>
        <w:tc>
          <w:tcPr>
            <w:shd w:fill="17365D"/>
          </w:tcPr>
          <w:p>
            <w:pPr>
              <w:keepNext/>
              <w:spacing w:after="0"/>
              <w:jc w:val="right"/>
            </w:pPr>
            <w:r>
              <w:rPr>
                <w:b/>
                <w:bCs/>
                <w:color w:val="FFFFFF"/>
                <w:sz w:val="24"/>
                <w:szCs w:val="24"/>
              </w:rPr>
              <w:t xml:space="preserve">Orig. Total</w:t>
            </w:r>
          </w:p>
        </w:tc>
        <w:tc>
          <w:tcPr>
            <w:shd w:fill="17365D"/>
          </w:tcPr>
          <w:p>
            <w:pPr>
              <w:keepNext/>
              <w:spacing w:after="0"/>
            </w:pPr>
            <w:r>
              <w:rPr>
                <w:b/>
                <w:bCs/>
                <w:color w:val="FFFFFF"/>
                <w:sz w:val="24"/>
                <w:szCs w:val="24"/>
              </w:rPr>
              <w:t xml:space="preserve">Reason</w:t>
            </w:r>
          </w:p>
        </w:tc>
      </w:tr>
      <w:tr>
        <w:trPr>
          <w:cantSplit/>
        </w:trPr>
        <w:tc>
          <w:p>
            <w:pPr>
              <w:spacing w:after="0"/>
            </w:pPr>
            <w:r>
              <w:rPr>
                <w:sz w:val="22"/>
                <w:szCs w:val="22"/>
              </w:rPr>
              <w:t xml:space="preserve">10.1</w:t>
            </w:r>
          </w:p>
        </w:tc>
        <w:tc>
          <w:p>
            <w:pPr>
              <w:spacing w:after="0"/>
            </w:pPr>
            <w:r>
              <w:rPr>
                <w:sz w:val="22"/>
                <w:szCs w:val="22"/>
              </w:rPr>
              <w:t xml:space="preserve">Flood Report - Standard</w:t>
            </w:r>
          </w:p>
        </w:tc>
        <w:tc>
          <w:p>
            <w:pPr>
              <w:spacing w:after="0"/>
              <w:jc w:val="right"/>
            </w:pPr>
            <w:r>
              <w:rPr>
                <w:sz w:val="22"/>
                <w:szCs w:val="22"/>
              </w:rPr>
              <w:t xml:space="preserve">1</w:t>
            </w:r>
          </w:p>
        </w:tc>
        <w:tc>
          <w:p>
            <w:pPr>
              <w:spacing w:after="0"/>
              <w:jc w:val="right"/>
            </w:pPr>
            <w:r>
              <w:rPr>
                <w:sz w:val="22"/>
                <w:szCs w:val="22"/>
              </w:rPr>
              <w:t xml:space="preserve">A$180.00</w:t>
            </w:r>
          </w:p>
        </w:tc>
        <w:tc>
          <w:p>
            <w:pPr>
              <w:spacing w:after="0"/>
            </w:pPr>
            <w:r>
              <w:rPr>
                <w:sz w:val="22"/>
                <w:szCs w:val="22"/>
              </w:rPr>
              <w:t xml:space="preserve">The audited report does not meet the documentation standards identified in the audit findings; the report preparation fee is not supported.</w:t>
            </w:r>
          </w:p>
        </w:tc>
      </w:tr>
      <w:tr>
        <w:trPr>
          <w:cantSplit/>
        </w:trPr>
        <w:tc>
          <w:p>
            <w:pPr>
              <w:spacing w:after="0"/>
            </w:pPr>
            <w:r>
              <w:rPr>
                <w:sz w:val="22"/>
                <w:szCs w:val="22"/>
              </w:rPr>
              <w:t xml:space="preserve">12.1</w:t>
            </w:r>
          </w:p>
        </w:tc>
        <w:tc>
          <w:p>
            <w:pPr>
              <w:spacing w:after="0"/>
            </w:pPr>
            <w:r>
              <w:rPr>
                <w:sz w:val="22"/>
                <w:szCs w:val="22"/>
              </w:rPr>
              <w:t xml:space="preserve">Thermal Cameras</w:t>
            </w:r>
          </w:p>
        </w:tc>
        <w:tc>
          <w:p>
            <w:pPr>
              <w:spacing w:after="0"/>
              <w:jc w:val="right"/>
            </w:pPr>
            <w:r>
              <w:rPr>
                <w:sz w:val="22"/>
                <w:szCs w:val="22"/>
              </w:rPr>
              <w:t xml:space="preserve">1</w:t>
            </w:r>
          </w:p>
        </w:tc>
        <w:tc>
          <w:p>
            <w:pPr>
              <w:spacing w:after="0"/>
              <w:jc w:val="right"/>
            </w:pPr>
            <w:r>
              <w:rPr>
                <w:sz w:val="22"/>
                <w:szCs w:val="22"/>
              </w:rPr>
              <w:t xml:space="preserve">A$70.00</w:t>
            </w:r>
          </w:p>
        </w:tc>
        <w:tc>
          <w:p>
            <w:pPr>
              <w:spacing w:after="0"/>
            </w:pPr>
            <w:r>
              <w:rPr>
                <w:sz w:val="22"/>
                <w:szCs w:val="22"/>
              </w:rPr>
              <w:t xml:space="preserve">No photographic or thermal-imaging deliverables are present in the audited file to substantiate this charge.</w:t>
            </w:r>
            <w:r>
              <w:rPr>
                <w:color w:val="404040"/>
                <w:sz w:val="20"/>
                <w:szCs w:val="20"/>
              </w:rPr>
              <w:t xml:space="preserve"/>
            </w:r>
            <w:r>
              <w:rPr>
                <w:color w:val="404040"/>
                <w:sz w:val="20"/>
                <w:szCs w:val="20"/>
              </w:rPr>
              <w:br/>
              <w:t xml:space="preserve">finding PHOTO-NONE-IN-FILE</w:t>
            </w:r>
          </w:p>
        </w:tc>
      </w:tr>
      <w:tr>
        <w:trPr>
          <w:cantSplit/>
        </w:trPr>
        <w:tc>
          <w:p>
            <w:pPr>
              <w:spacing w:after="0"/>
            </w:pPr>
            <w:r>
              <w:rPr>
                <w:sz w:val="22"/>
                <w:szCs w:val="22"/>
              </w:rPr>
              <w:t xml:space="preserve">604.1</w:t>
            </w:r>
          </w:p>
        </w:tc>
        <w:tc>
          <w:p>
            <w:pPr>
              <w:spacing w:after="0"/>
            </w:pPr>
            <w:r>
              <w:rPr>
                <w:sz w:val="22"/>
                <w:szCs w:val="22"/>
              </w:rPr>
              <w:t xml:space="preserve">Local Delivery and Pickup Fees</w:t>
            </w:r>
          </w:p>
        </w:tc>
        <w:tc>
          <w:p>
            <w:pPr>
              <w:spacing w:after="0"/>
              <w:jc w:val="right"/>
            </w:pPr>
            <w:r>
              <w:rPr>
                <w:sz w:val="22"/>
                <w:szCs w:val="22"/>
              </w:rPr>
              <w:t xml:space="preserve">2</w:t>
            </w:r>
          </w:p>
        </w:tc>
        <w:tc>
          <w:p>
            <w:pPr>
              <w:spacing w:after="0"/>
              <w:jc w:val="right"/>
            </w:pPr>
            <w:r>
              <w:rPr>
                <w:sz w:val="22"/>
                <w:szCs w:val="22"/>
              </w:rPr>
              <w:t xml:space="preserve">A$364.00</w:t>
            </w:r>
          </w:p>
        </w:tc>
        <w:tc>
          <w:p>
            <w:pPr>
              <w:spacing w:after="0"/>
            </w:pPr>
            <w:r>
              <w:rPr>
                <w:sz w:val="22"/>
                <w:szCs w:val="22"/>
              </w:rPr>
              <w:t xml:space="preserve">Travel and delivery are ancillary overheads not separately supported by the audited documentation.</w:t>
            </w:r>
          </w:p>
        </w:tc>
      </w:tr>
    </w:tbl>
    <w:p>
      <w:pPr>
        <w:keepNext/>
        <w:keepLines/>
        <w:spacing w:after="80" w:before="200"/>
      </w:pPr>
      <w:r>
        <w:rPr>
          <w:b/>
          <w:bCs/>
          <w:color w:val="1F4E79"/>
          <w:sz w:val="28"/>
          <w:szCs w:val="28"/>
        </w:rPr>
        <w:t xml:space="preserve">Summary</w:t>
      </w:r>
    </w:p>
    <w:tbl>
      <w:tblPr>
        <w:tblW w:type="pct" w:w="100%"/>
        <w:jc w:val="center"/>
        <w:tblBorders>
          <w:top w:val="single" w:color="auto" w:sz="4"/>
          <w:left w:val="single" w:color="auto" w:sz="4"/>
          <w:bottom w:val="single" w:color="auto" w:sz="4"/>
          <w:right w:val="single" w:color="auto" w:sz="4"/>
          <w:insideH w:val="single" w:color="D9D9D9" w:sz="4"/>
          <w:insideV w:val="single" w:color="D9D9D9" w:sz="4"/>
        </w:tblBorders>
        <w:tblCellMar>
          <w:top w:type="dxa" w:w="55"/>
          <w:left w:type="dxa" w:w="65"/>
          <w:bottom w:type="dxa" w:w="55"/>
          <w:right w:type="dxa" w:w="65"/>
        </w:tblCellMar>
      </w:tblPr>
      <w:tblGrid>
        <w:gridCol w:w="100"/>
        <w:gridCol w:w="100"/>
        <w:gridCol w:w="100"/>
      </w:tblGrid>
      <w:tr>
        <w:trPr>
          <w:tblHeader/>
        </w:trPr>
        <w:tc>
          <w:tcPr>
            <w:shd w:fill="17365D"/>
          </w:tcPr>
          <w:p>
            <w:pPr>
              <w:keepNext/>
              <w:spacing w:after="0"/>
            </w:pPr>
            <w:r>
              <w:rPr>
                <w:b/>
                <w:bCs/>
                <w:color w:val="FFFFFF"/>
                <w:sz w:val="24"/>
                <w:szCs w:val="24"/>
              </w:rPr>
              <w:t xml:space="preserve"/>
            </w:r>
          </w:p>
        </w:tc>
        <w:tc>
          <w:tcPr>
            <w:shd w:fill="17365D"/>
          </w:tcPr>
          <w:p>
            <w:pPr>
              <w:keepNext/>
              <w:spacing w:after="0"/>
              <w:jc w:val="right"/>
            </w:pPr>
            <w:r>
              <w:rPr>
                <w:b/>
                <w:bCs/>
                <w:color w:val="FFFFFF"/>
                <w:sz w:val="24"/>
                <w:szCs w:val="24"/>
              </w:rPr>
              <w:t xml:space="preserve">Original invoice</w:t>
            </w:r>
          </w:p>
        </w:tc>
        <w:tc>
          <w:tcPr>
            <w:shd w:fill="17365D"/>
          </w:tcPr>
          <w:p>
            <w:pPr>
              <w:keepNext/>
              <w:spacing w:after="0"/>
              <w:jc w:val="right"/>
            </w:pPr>
            <w:r>
              <w:rPr>
                <w:b/>
                <w:bCs/>
                <w:color w:val="FFFFFF"/>
                <w:sz w:val="24"/>
                <w:szCs w:val="24"/>
              </w:rPr>
              <w:t xml:space="preserve">Revised (supported)</w:t>
            </w:r>
          </w:p>
        </w:tc>
      </w:tr>
      <w:tr>
        <w:trPr>
          <w:cantSplit/>
        </w:trPr>
        <w:tc>
          <w:p>
            <w:pPr>
              <w:spacing w:after="0"/>
            </w:pPr>
            <w:r>
              <w:rPr>
                <w:b/>
                <w:bCs/>
                <w:sz w:val="22"/>
                <w:szCs w:val="22"/>
              </w:rPr>
              <w:t xml:space="preserve">Subtotal</w:t>
            </w:r>
          </w:p>
        </w:tc>
        <w:tc>
          <w:p>
            <w:pPr>
              <w:spacing w:after="0"/>
              <w:jc w:val="right"/>
            </w:pPr>
            <w:r>
              <w:rPr>
                <w:sz w:val="22"/>
                <w:szCs w:val="22"/>
              </w:rPr>
              <w:t xml:space="preserve">A$2395.00</w:t>
            </w:r>
          </w:p>
        </w:tc>
        <w:tc>
          <w:p>
            <w:pPr>
              <w:spacing w:after="0"/>
              <w:jc w:val="right"/>
            </w:pPr>
            <w:r>
              <w:rPr>
                <w:sz w:val="22"/>
                <w:szCs w:val="22"/>
              </w:rPr>
              <w:t xml:space="preserve">A$1035.00</w:t>
            </w:r>
          </w:p>
        </w:tc>
      </w:tr>
      <w:tr>
        <w:trPr>
          <w:cantSplit/>
        </w:trPr>
        <w:tc>
          <w:p>
            <w:pPr>
              <w:spacing w:after="0"/>
            </w:pPr>
            <w:r>
              <w:rPr>
                <w:b/>
                <w:bCs/>
                <w:sz w:val="22"/>
                <w:szCs w:val="22"/>
              </w:rPr>
              <w:t xml:space="preserve">GST 10%</w:t>
            </w:r>
          </w:p>
        </w:tc>
        <w:tc>
          <w:p>
            <w:pPr>
              <w:spacing w:after="0"/>
              <w:jc w:val="right"/>
            </w:pPr>
            <w:r>
              <w:rPr>
                <w:sz w:val="22"/>
                <w:szCs w:val="22"/>
              </w:rPr>
              <w:t xml:space="preserve">A$239.50</w:t>
            </w:r>
          </w:p>
        </w:tc>
        <w:tc>
          <w:p>
            <w:pPr>
              <w:spacing w:after="0"/>
              <w:jc w:val="right"/>
            </w:pPr>
            <w:r>
              <w:rPr>
                <w:sz w:val="22"/>
                <w:szCs w:val="22"/>
              </w:rPr>
              <w:t xml:space="preserve">A$103.50</w:t>
            </w:r>
          </w:p>
        </w:tc>
      </w:tr>
      <w:tr>
        <w:trPr>
          <w:cantSplit/>
        </w:trPr>
        <w:tc>
          <w:p>
            <w:pPr>
              <w:spacing w:after="0"/>
            </w:pPr>
            <w:r>
              <w:rPr>
                <w:b/>
                <w:bCs/>
                <w:sz w:val="22"/>
                <w:szCs w:val="22"/>
              </w:rPr>
              <w:t xml:space="preserve">Total including GST</w:t>
            </w:r>
          </w:p>
        </w:tc>
        <w:tc>
          <w:p>
            <w:pPr>
              <w:spacing w:after="0"/>
              <w:jc w:val="right"/>
            </w:pPr>
            <w:r>
              <w:rPr>
                <w:sz w:val="22"/>
                <w:szCs w:val="22"/>
              </w:rPr>
              <w:t xml:space="preserve">A$2634.50</w:t>
            </w:r>
          </w:p>
        </w:tc>
        <w:tc>
          <w:p>
            <w:pPr>
              <w:spacing w:after="0"/>
              <w:jc w:val="right"/>
            </w:pPr>
            <w:r>
              <w:rPr>
                <w:sz w:val="22"/>
                <w:szCs w:val="22"/>
              </w:rPr>
              <w:t xml:space="preserve">A$1138.50</w:t>
            </w:r>
          </w:p>
        </w:tc>
      </w:tr>
    </w:tbl>
    <w:p>
      <w:pPr>
        <w:spacing w:after="120" w:line="264"/>
      </w:pPr>
      <w:r>
        <w:rPr>
          <w:sz w:val="22"/>
          <w:szCs w:val="22"/>
        </w:rPr>
        <w:t xml:space="preserve">Each column's GST 10% is computed on the subtotal above it. Every line of the contractor invoice is recorded as priced exclusive of GST, so both subtotals are GST-exclusive and the same rate applies to each. Neither GST figure is quoted from the contractor invoice: this schedule is prepared from the invoice's line items and does not restate any total the invoice states for itself.</w:t>
      </w:r>
    </w:p>
    <w:p>
      <w:pPr>
        <w:spacing w:after="120" w:line="264"/>
      </w:pPr>
      <w:r>
        <w:rPr>
          <w:sz w:val="22"/>
          <w:szCs w:val="22"/>
        </w:rPr>
        <w:t xml:space="preserve">Included line-item totals recalculated as Supported Quantity × Unit Price. Unit prices preserved from the contractor invoice.</w:t>
      </w:r>
    </w:p>
    <w:sectPr>
      <w:headerReference w:type="default" r:id="rId7"/>
      <w:footerReference w:type="default" r:id="rId8"/>
      <w:pgSz w:w="15840" w:h="12240" w:orient="landscape"/>
      <w:pgMar w:top="648" w:right="691" w:bottom="504" w:left="69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jc w:val="right"/>
    </w:pPr>
    <w:r>
      <w:rPr>
        <w:color w:val="404040"/>
        <w:sz w:val="20"/>
        <w:szCs w:val="20"/>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pPr>
    <w:r>
      <w:rPr>
        <w:color w:val="404040"/>
        <w:sz w:val="20"/>
        <w:szCs w:val="20"/>
      </w:rPr>
      <w:t xml:space="preserve">RIC Solutions | Comparative Pricing Schedule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cs="Cambria" w:eastAsia="Cambria" w:hAnsi="Cambria"/>
        <w:sz w:val="22"/>
        <w:szCs w:val="22"/>
        <w:lang w:val="en-AU"/>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2026-08-28T04:04:52.933Z</dcterms:created>
  <dcterms:modified xsi:type="dcterms:W3CDTF">2026-08-28T04:04:52.933Z</dcterms:modified>
</cp:coreProperties>
</file>

<file path=docProps/custom.xml><?xml version="1.0" encoding="utf-8"?>
<Properties xmlns="http://schemas.openxmlformats.org/officeDocument/2006/custom-properties" xmlns:vt="http://schemas.openxmlformats.org/officeDocument/2006/docPropsVTypes"/>
</file>